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2E74B5"/>
          <w:sz w:val="36"/>
        </w:rPr>
        <w:t>Andas DFM Checklist Sample</w:t>
      </w:r>
    </w:p>
    <w:p>
      <w:pPr>
        <w:spacing w:after="240"/>
      </w:pPr>
      <w:r>
        <w:rPr>
          <w:color w:val="5A5A5A"/>
          <w:sz w:val="20"/>
        </w:rPr>
        <w:t>Desensitized reference checklist for CNC RFQ preparation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376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b/>
                <w:sz w:val="20"/>
              </w:rPr>
              <w:t>Notice</w:t>
            </w:r>
          </w:p>
        </w:tc>
        <w:tc>
          <w:tcPr>
            <w:tcW w:type="dxa" w:w="6984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Sample document only. Project-specific DFM review depends on the uploaded drawing, material, tolerance, quantity and quality requirements.</w:t>
            </w:r>
          </w:p>
        </w:tc>
      </w:tr>
    </w:tbl>
    <w:p/>
    <w:p>
      <w:pPr>
        <w:pStyle w:val="Heading1"/>
      </w:pPr>
      <w:r>
        <w:t>Project Metadata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3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2F4F7"/>
          </w:tcPr>
          <w:p>
            <w:pPr>
              <w:spacing w:after="0"/>
            </w:pPr>
            <w:r>
              <w:rPr>
                <w:b/>
              </w:rPr>
              <w:t>Use</w:t>
            </w:r>
          </w:p>
        </w:tc>
        <w:tc>
          <w:tcPr>
            <w:tcW w:type="dxa" w:w="698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t>RFQ preparation</w:t>
            </w:r>
          </w:p>
        </w:tc>
      </w:tr>
      <w:tr>
        <w:tc>
          <w:tcPr>
            <w:tcW w:type="dxa" w:w="4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2F4F7"/>
          </w:tcPr>
          <w:p>
            <w:pPr>
              <w:spacing w:after="0"/>
            </w:pPr>
            <w:r>
              <w:rPr>
                <w:b/>
              </w:rPr>
              <w:t>Confidentiality</w:t>
            </w:r>
          </w:p>
        </w:tc>
        <w:tc>
          <w:tcPr>
            <w:tcW w:type="dxa" w:w="4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t>Drawing data used only for DFM and quotation review</w:t>
            </w:r>
          </w:p>
        </w:tc>
      </w:tr>
      <w:tr>
        <w:tc>
          <w:tcPr>
            <w:tcW w:type="dxa" w:w="4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2F4F7"/>
          </w:tcPr>
          <w:p>
            <w:pPr>
              <w:spacing w:after="0"/>
            </w:pPr>
            <w:r>
              <w:rPr>
                <w:b/>
              </w:rPr>
              <w:t>Follow-up</w:t>
            </w:r>
          </w:p>
        </w:tc>
        <w:tc>
          <w:tcPr>
            <w:tcW w:type="dxa" w:w="48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/>
            </w:pPr>
            <w:r>
              <w:t>Engineering review usually within 24 hours</w:t>
            </w:r>
          </w:p>
        </w:tc>
      </w:tr>
    </w:tbl>
    <w:p>
      <w:pPr>
        <w:pStyle w:val="Heading1"/>
      </w:pPr>
      <w:r>
        <w:t>1. Drawing Package</w:t>
      </w:r>
    </w:p>
    <w:p>
      <w:pPr>
        <w:pStyle w:val="ListBullet"/>
        <w:spacing w:after="80"/>
        <w:ind w:left="360" w:hanging="144"/>
      </w:pPr>
      <w:r>
        <w:t>Submit STEP/STP/IGES for 3D geometry and PDF for tolerances, threads, material notes and revision control.</w:t>
      </w:r>
    </w:p>
    <w:p>
      <w:pPr>
        <w:pStyle w:val="ListBullet"/>
        <w:spacing w:after="80"/>
        <w:ind w:left="360" w:hanging="144"/>
      </w:pPr>
      <w:r>
        <w:t>Confirm units, drawing revision, critical-to-quality dimensions and surface finish callouts.</w:t>
      </w:r>
    </w:p>
    <w:p>
      <w:pPr>
        <w:pStyle w:val="ListBullet"/>
        <w:spacing w:after="80"/>
        <w:ind w:left="360" w:hanging="144"/>
      </w:pPr>
      <w:r>
        <w:t>Mark whether material, tolerance, thread and surface finish should follow the drawing or customer form.</w:t>
      </w:r>
    </w:p>
    <w:p>
      <w:pPr>
        <w:pStyle w:val="Heading1"/>
      </w:pPr>
      <w:r>
        <w:t>2. Geometry Risks We Check</w:t>
      </w:r>
    </w:p>
    <w:p>
      <w:pPr>
        <w:pStyle w:val="ListBullet"/>
        <w:spacing w:after="80"/>
        <w:ind w:left="360" w:hanging="144"/>
      </w:pPr>
      <w:r>
        <w:t>Internal sharp corners and minimum machinable radius.</w:t>
      </w:r>
    </w:p>
    <w:p>
      <w:pPr>
        <w:pStyle w:val="ListBullet"/>
        <w:spacing w:after="80"/>
        <w:ind w:left="360" w:hanging="144"/>
      </w:pPr>
      <w:r>
        <w:t>Thin walls, isolated tall ribs and chatter-prone unsupported features.</w:t>
      </w:r>
    </w:p>
    <w:p>
      <w:pPr>
        <w:pStyle w:val="ListBullet"/>
        <w:spacing w:after="80"/>
        <w:ind w:left="360" w:hanging="144"/>
      </w:pPr>
      <w:r>
        <w:t>Deep cavities, deep holes, blind threads and tool access limitations.</w:t>
      </w:r>
    </w:p>
    <w:p>
      <w:pPr>
        <w:pStyle w:val="ListBullet"/>
        <w:spacing w:after="80"/>
        <w:ind w:left="360" w:hanging="144"/>
      </w:pPr>
      <w:r>
        <w:t>Hole edge distance, hole-to-hole wall stock and breakout risk.</w:t>
      </w:r>
    </w:p>
    <w:p>
      <w:pPr>
        <w:pStyle w:val="Heading1"/>
      </w:pPr>
      <w:r>
        <w:t>3. Quotation Inputs</w:t>
      </w:r>
    </w:p>
    <w:p>
      <w:pPr>
        <w:pStyle w:val="ListBullet"/>
        <w:spacing w:after="80"/>
        <w:ind w:left="360" w:hanging="144"/>
      </w:pPr>
      <w:r>
        <w:t>Material specification, batch quantity, tolerance grade, thread standard and surface finish.</w:t>
      </w:r>
    </w:p>
    <w:p>
      <w:pPr>
        <w:pStyle w:val="ListBullet"/>
        <w:spacing w:after="80"/>
        <w:ind w:left="360" w:hanging="144"/>
      </w:pPr>
      <w:r>
        <w:t>QC requirements such as CMM report, FAIR, MTR / EN 10204 3.1 and material certificate.</w:t>
      </w:r>
    </w:p>
    <w:p>
      <w:pPr>
        <w:pStyle w:val="ListBullet"/>
        <w:spacing w:after="80"/>
        <w:ind w:left="360" w:hanging="144"/>
      </w:pPr>
      <w:r>
        <w:t>Delivery expectation, packaging requirements and whether rush handling is required.</w:t>
      </w:r>
    </w:p>
    <w:p>
      <w:pPr>
        <w:pStyle w:val="Heading1"/>
      </w:pPr>
      <w:r>
        <w:t>4. DFM Output Boundary</w:t>
      </w:r>
    </w:p>
    <w:p>
      <w:pPr>
        <w:pStyle w:val="ListBullet"/>
        <w:spacing w:after="80"/>
        <w:ind w:left="360" w:hanging="144"/>
      </w:pPr>
      <w:r>
        <w:t>DFM score and AI suggestions are preliminary manufacturing guidance, not final production approval.</w:t>
      </w:r>
    </w:p>
    <w:p>
      <w:pPr>
        <w:pStyle w:val="ListBullet"/>
        <w:spacing w:after="80"/>
        <w:ind w:left="360" w:hanging="144"/>
      </w:pPr>
      <w:r>
        <w:t>Formal quotation requires engineering review of drawing version, material conflict, tolerance stack and inspection requirements.</w:t>
      </w:r>
    </w:p>
    <w:p>
      <w:pPr>
        <w:pStyle w:val="ListBullet"/>
        <w:spacing w:after="80"/>
        <w:ind w:left="360" w:hanging="144"/>
      </w:pPr>
      <w:r>
        <w:t>Customer may accept a suggested change or keep the original drawing before engineering follow-up.</w:t>
      </w:r>
    </w:p>
    <w:p>
      <w:pPr>
        <w:pStyle w:val="Heading1"/>
      </w:pPr>
      <w:r>
        <w:t>Next Step</w:t>
      </w:r>
    </w:p>
    <w:p>
      <w:pPr>
        <w:spacing w:line="300" w:lineRule="auto"/>
      </w:pPr>
      <w:r>
        <w:t>Upload your drawing through the Andas DFM portal. The system records the Lead ID and our engineer reviews manufacturability risks before formal quotation.</w:t>
      </w:r>
    </w:p>
    <w:sectPr w:rsidR="00FC693F" w:rsidRPr="0006063C" w:rsidSect="00034616">
      <w:footerReference w:type="default" r:id="rId9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E6E6E"/>
        <w:sz w:val="16"/>
      </w:rPr>
      <w:t>ANDAS PRECISION | Confidential sample document | sales@andas-industrial.com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 w:ascii="Calibri" w:hAnsi="Calibri" w:eastAsia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Calibri" w:hAnsi="Calibri" w:eastAsia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 w:ascii="Calibri" w:hAnsi="Calibri" w:eastAsia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